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1B5E20" w:val="clear"/>
            <w:tcMar>
              <w:top w:type="dxa" w:w="120"/>
              <w:left w:type="dxa" w:w="200"/>
              <w:bottom w:type="dxa" w:w="120"/>
              <w:right w:type="dxa" w:w="200"/>
            </w:tcMar>
          </w:tcPr>
          <w:p>
            <w:pPr>
              <w:jc w:val="center"/>
            </w:pPr>
            <w:r>
              <w:rPr>
                <w:rFonts w:ascii="Arial" w:cs="Arial" w:eastAsia="Arial" w:hAnsi="Arial"/>
                <w:b/>
                <w:bCs/>
                <w:color w:val="FFFFFF"/>
                <w:sz w:val="28"/>
                <w:szCs w:val="28"/>
              </w:rPr>
              <w:t xml:space="preserve">GRIFFIN HIGH SCHOOL</w:t>
            </w:r>
          </w:p>
          <w:p>
            <w:pPr>
              <w:jc w:val="center"/>
            </w:pPr>
            <w:r>
              <w:rPr>
                <w:rFonts w:ascii="Arial" w:cs="Arial" w:eastAsia="Arial" w:hAnsi="Arial"/>
                <w:b/>
                <w:bCs/>
                <w:color w:val="F9A825"/>
                <w:sz w:val="24"/>
                <w:szCs w:val="24"/>
              </w:rPr>
              <w:t xml:space="preserve">Teacher Intervention Toolkit</w:t>
            </w:r>
          </w:p>
          <w:p>
            <w:pPr>
              <w:jc w:val="center"/>
            </w:pPr>
            <w:r>
              <w:rPr>
                <w:rFonts w:ascii="Arial" w:cs="Arial" w:eastAsia="Arial" w:hAnsi="Arial"/>
                <w:i/>
                <w:iCs/>
                <w:color w:val="FFFFFF"/>
                <w:sz w:val="18"/>
                <w:szCs w:val="18"/>
              </w:rPr>
              <w:t xml:space="preserve">For Students Scoring 60–69 | 2025–2026</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9A825" w:sz="6"/>
              <w:left w:val="single" w:color="F9A825" w:sz="6"/>
              <w:bottom w:val="single" w:color="F9A825" w:sz="6"/>
              <w:right w:val="single" w:color="F9A825" w:sz="6"/>
            </w:tcBorders>
            <w:shd w:fill="FFFDE7" w:val="clear"/>
            <w:tcMar>
              <w:top w:type="dxa" w:w="100"/>
              <w:left w:type="dxa" w:w="160"/>
              <w:bottom w:type="dxa" w:w="100"/>
              <w:right w:type="dxa" w:w="160"/>
            </w:tcMar>
          </w:tcPr>
          <w:p>
            <w:pPr>
              <w:jc w:val="center"/>
            </w:pPr>
            <w:r>
              <w:rPr>
                <w:rFonts w:ascii="Arial" w:cs="Arial" w:eastAsia="Arial" w:hAnsi="Arial"/>
                <w:b/>
                <w:bCs/>
                <w:color w:val="1B5E20"/>
                <w:sz w:val="20"/>
                <w:szCs w:val="20"/>
              </w:rPr>
              <w:t xml:space="preserve">WHEN TO USE THIS TOOLKIT</w:t>
            </w:r>
          </w:p>
          <w:p>
            <w:pPr>
              <w:spacing w:before="60"/>
              <w:jc w:val="center"/>
            </w:pPr>
            <w:r>
              <w:rPr>
                <w:rFonts w:ascii="Arial" w:cs="Arial" w:eastAsia="Arial" w:hAnsi="Arial"/>
                <w:color w:val="212121"/>
                <w:sz w:val="18"/>
                <w:szCs w:val="18"/>
              </w:rPr>
              <w:t xml:space="preserve">Any student with a grade between 60–69 at a bi-weekly check, progress report, or report card triggers immediate teacher-led intervention. No referral to administration required.</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1B5E20"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STRATEGY CATEGORIES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80"/>
        <w:gridCol w:w="3080"/>
        <w:gridCol w:w="3200"/>
      </w:tblGrid>
      <w:tr>
        <w:tc>
          <w:tcPr>
            <w:tcW w:type="dxa" w:w="3080"/>
            <w:tcBorders>
              <w:top w:val="single" w:color="CCCCCC" w:sz="4"/>
              <w:left w:val="single" w:color="CCCCCC" w:sz="4"/>
              <w:bottom w:val="single" w:color="CCCCCC" w:sz="4"/>
              <w:right w:val="single" w:color="CCCCCC" w:sz="4"/>
            </w:tcBorders>
            <w:shd w:fill="2E7D32"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INSTRUCTIONAL
RE-ENGAGEMENT</w:t>
            </w:r>
          </w:p>
        </w:tc>
        <w:tc>
          <w:tcPr>
            <w:tcW w:type="dxa" w:w="3080"/>
            <w:tcBorders>
              <w:top w:val="single" w:color="CCCCCC" w:sz="4"/>
              <w:left w:val="single" w:color="CCCCCC" w:sz="4"/>
              <w:bottom w:val="single" w:color="CCCCCC" w:sz="4"/>
              <w:right w:val="single" w:color="CCCCCC" w:sz="4"/>
            </w:tcBorders>
            <w:shd w:fill="2E7D32"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RELATIONSHIP
&amp; MOTIVATION</w:t>
            </w:r>
          </w:p>
        </w:tc>
        <w:tc>
          <w:tcPr>
            <w:tcW w:type="dxa" w:w="3200"/>
            <w:tcBorders>
              <w:top w:val="single" w:color="CCCCCC" w:sz="4"/>
              <w:left w:val="single" w:color="CCCCCC" w:sz="4"/>
              <w:bottom w:val="single" w:color="CCCCCC" w:sz="4"/>
              <w:right w:val="single" w:color="CCCCCC" w:sz="4"/>
            </w:tcBorders>
            <w:shd w:fill="2E7D32"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STRUCTURAL
SUPPORTS</w:t>
            </w:r>
          </w:p>
        </w:tc>
      </w:tr>
      <w:tr>
        <w:tc>
          <w:tcPr>
            <w:tcW w:type="dxa" w:w="3080"/>
            <w:tcBorders>
              <w:top w:val="single" w:color="CCCCCC" w:sz="4"/>
              <w:left w:val="single" w:color="CCCCCC" w:sz="4"/>
              <w:bottom w:val="single" w:color="CCCCCC" w:sz="4"/>
              <w:right w:val="single" w:color="CCCCCC" w:sz="4"/>
            </w:tcBorders>
            <w:shd w:fill="E8F5E9" w:val="clear"/>
            <w:tcMar>
              <w:top w:type="dxa" w:w="80"/>
              <w:left w:type="dxa" w:w="120"/>
              <w:bottom w:type="dxa" w:w="80"/>
              <w:right w:type="dxa" w:w="120"/>
            </w:tcMar>
          </w:tcPr>
          <w:p>
            <w:pPr>
              <w:spacing w:after="40" w:before="60"/>
            </w:pPr>
            <w:r>
              <w:rPr>
                <w:rFonts w:ascii="Arial" w:cs="Arial" w:eastAsia="Arial" w:hAnsi="Arial"/>
                <w:b/>
                <w:bCs/>
                <w:color w:val="1B5E20"/>
                <w:sz w:val="18"/>
                <w:szCs w:val="18"/>
              </w:rPr>
              <w:t xml:space="preserve">Spaced Practice</w:t>
            </w:r>
          </w:p>
          <w:p>
            <w:pPr>
              <w:spacing w:after="60" w:before="0"/>
            </w:pPr>
            <w:r>
              <w:rPr>
                <w:rFonts w:ascii="Arial" w:cs="Arial" w:eastAsia="Arial" w:hAnsi="Arial"/>
                <w:color w:val="212121"/>
                <w:sz w:val="17"/>
                <w:szCs w:val="17"/>
              </w:rPr>
              <w:t xml:space="preserve">Re-teach the standard in smaller chunks across multiple days — not one re-teach session.</w:t>
            </w:r>
          </w:p>
          <w:p>
            <w:pPr>
              <w:spacing w:after="40" w:before="60"/>
            </w:pPr>
            <w:r>
              <w:rPr>
                <w:rFonts w:ascii="Arial" w:cs="Arial" w:eastAsia="Arial" w:hAnsi="Arial"/>
                <w:b/>
                <w:bCs/>
                <w:color w:val="1B5E20"/>
                <w:sz w:val="18"/>
                <w:szCs w:val="18"/>
              </w:rPr>
              <w:t xml:space="preserve">Retrieval Practice</w:t>
            </w:r>
          </w:p>
          <w:p>
            <w:pPr>
              <w:spacing w:after="60" w:before="0"/>
            </w:pPr>
            <w:r>
              <w:rPr>
                <w:rFonts w:ascii="Arial" w:cs="Arial" w:eastAsia="Arial" w:hAnsi="Arial"/>
                <w:color w:val="212121"/>
                <w:sz w:val="17"/>
                <w:szCs w:val="17"/>
              </w:rPr>
              <w:t xml:space="preserve">Low-stakes quizzing before new content to surface gaps before they compound.</w:t>
            </w:r>
          </w:p>
          <w:p>
            <w:pPr>
              <w:spacing w:after="40" w:before="60"/>
            </w:pPr>
            <w:r>
              <w:rPr>
                <w:rFonts w:ascii="Arial" w:cs="Arial" w:eastAsia="Arial" w:hAnsi="Arial"/>
                <w:b/>
                <w:bCs/>
                <w:color w:val="1B5E20"/>
                <w:sz w:val="18"/>
                <w:szCs w:val="18"/>
              </w:rPr>
              <w:t xml:space="preserve">Worked Examples</w:t>
            </w:r>
          </w:p>
          <w:p>
            <w:pPr>
              <w:spacing w:after="60" w:before="0"/>
            </w:pPr>
            <w:r>
              <w:rPr>
                <w:rFonts w:ascii="Arial" w:cs="Arial" w:eastAsia="Arial" w:hAnsi="Arial"/>
                <w:color w:val="212121"/>
                <w:sz w:val="17"/>
                <w:szCs w:val="17"/>
              </w:rPr>
              <w:t xml:space="preserve">Show a completed model problem before assigning independent practice.</w:t>
            </w:r>
          </w:p>
          <w:p>
            <w:pPr>
              <w:spacing w:after="40" w:before="60"/>
            </w:pPr>
            <w:r>
              <w:rPr>
                <w:rFonts w:ascii="Arial" w:cs="Arial" w:eastAsia="Arial" w:hAnsi="Arial"/>
                <w:b/>
                <w:bCs/>
                <w:color w:val="1B5E20"/>
                <w:sz w:val="18"/>
                <w:szCs w:val="18"/>
              </w:rPr>
              <w:t xml:space="preserve">Error Analysis</w:t>
            </w:r>
          </w:p>
          <w:p>
            <w:pPr>
              <w:spacing w:after="40" w:before="0"/>
            </w:pPr>
            <w:r>
              <w:rPr>
                <w:rFonts w:ascii="Arial" w:cs="Arial" w:eastAsia="Arial" w:hAnsi="Arial"/>
                <w:color w:val="212121"/>
                <w:sz w:val="17"/>
                <w:szCs w:val="17"/>
              </w:rPr>
              <w:t xml:space="preserve">Student identifies and corrects their own mistakes rather than just receiving a marked-down grade.</w:t>
            </w:r>
          </w:p>
        </w:tc>
        <w:tc>
          <w:tcPr>
            <w:tcW w:type="dxa" w:w="30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40" w:before="60"/>
            </w:pPr>
            <w:r>
              <w:rPr>
                <w:rFonts w:ascii="Arial" w:cs="Arial" w:eastAsia="Arial" w:hAnsi="Arial"/>
                <w:b/>
                <w:bCs/>
                <w:color w:val="1B5E20"/>
                <w:sz w:val="18"/>
                <w:szCs w:val="18"/>
              </w:rPr>
              <w:t xml:space="preserve">Strategic Check-In</w:t>
            </w:r>
          </w:p>
          <w:p>
            <w:pPr>
              <w:spacing w:after="60" w:before="0"/>
            </w:pPr>
            <w:r>
              <w:rPr>
                <w:rFonts w:ascii="Arial" w:cs="Arial" w:eastAsia="Arial" w:hAnsi="Arial"/>
                <w:color w:val="212121"/>
                <w:sz w:val="17"/>
                <w:szCs w:val="17"/>
              </w:rPr>
              <w:t xml:space="preserve">Two-minute one-on-one before or after class: "What’s getting in the way?" Listen first.</w:t>
            </w:r>
          </w:p>
          <w:p>
            <w:pPr>
              <w:spacing w:after="40" w:before="60"/>
            </w:pPr>
            <w:r>
              <w:rPr>
                <w:rFonts w:ascii="Arial" w:cs="Arial" w:eastAsia="Arial" w:hAnsi="Arial"/>
                <w:b/>
                <w:bCs/>
                <w:color w:val="1B5E20"/>
                <w:sz w:val="18"/>
                <w:szCs w:val="18"/>
              </w:rPr>
              <w:t xml:space="preserve">High-Leverage Praise</w:t>
            </w:r>
          </w:p>
          <w:p>
            <w:pPr>
              <w:spacing w:after="60" w:before="0"/>
            </w:pPr>
            <w:r>
              <w:rPr>
                <w:rFonts w:ascii="Arial" w:cs="Arial" w:eastAsia="Arial" w:hAnsi="Arial"/>
                <w:color w:val="212121"/>
                <w:sz w:val="17"/>
                <w:szCs w:val="17"/>
              </w:rPr>
              <w:t xml:space="preserve">Specific, effort-based feedback tied to a skill — not just a grade. "You improved your use of evidence in that paragraph."</w:t>
            </w:r>
          </w:p>
          <w:p>
            <w:pPr>
              <w:spacing w:after="40" w:before="60"/>
            </w:pPr>
            <w:r>
              <w:rPr>
                <w:rFonts w:ascii="Arial" w:cs="Arial" w:eastAsia="Arial" w:hAnsi="Arial"/>
                <w:b/>
                <w:bCs/>
                <w:color w:val="1B5E20"/>
                <w:sz w:val="18"/>
                <w:szCs w:val="18"/>
              </w:rPr>
              <w:t xml:space="preserve">Goal Setting</w:t>
            </w:r>
          </w:p>
          <w:p>
            <w:pPr>
              <w:spacing w:after="40" w:before="0"/>
            </w:pPr>
            <w:r>
              <w:rPr>
                <w:rFonts w:ascii="Arial" w:cs="Arial" w:eastAsia="Arial" w:hAnsi="Arial"/>
                <w:color w:val="212121"/>
                <w:sz w:val="17"/>
                <w:szCs w:val="17"/>
              </w:rPr>
              <w:t xml:space="preserve">Student sets a target score on the next assessment with teacher support. Revisit it together at the next check-in.</w:t>
            </w:r>
          </w:p>
        </w:tc>
        <w:tc>
          <w:tcPr>
            <w:tcW w:type="dxa" w:w="3200"/>
            <w:tcBorders>
              <w:top w:val="single" w:color="CCCCCC" w:sz="4"/>
              <w:left w:val="single" w:color="CCCCCC" w:sz="4"/>
              <w:bottom w:val="single" w:color="CCCCCC" w:sz="4"/>
              <w:right w:val="single" w:color="CCCCCC" w:sz="4"/>
            </w:tcBorders>
            <w:shd w:fill="E8F5E9" w:val="clear"/>
            <w:tcMar>
              <w:top w:type="dxa" w:w="80"/>
              <w:left w:type="dxa" w:w="120"/>
              <w:bottom w:type="dxa" w:w="80"/>
              <w:right w:type="dxa" w:w="120"/>
            </w:tcMar>
          </w:tcPr>
          <w:p>
            <w:pPr>
              <w:spacing w:after="40" w:before="60"/>
            </w:pPr>
            <w:r>
              <w:rPr>
                <w:rFonts w:ascii="Arial" w:cs="Arial" w:eastAsia="Arial" w:hAnsi="Arial"/>
                <w:b/>
                <w:bCs/>
                <w:color w:val="1B5E20"/>
                <w:sz w:val="18"/>
                <w:szCs w:val="18"/>
              </w:rPr>
              <w:t xml:space="preserve">Illuminate Module</w:t>
            </w:r>
          </w:p>
          <w:p>
            <w:pPr>
              <w:spacing w:after="60" w:before="0"/>
            </w:pPr>
            <w:r>
              <w:rPr>
                <w:rFonts w:ascii="Arial" w:cs="Arial" w:eastAsia="Arial" w:hAnsi="Arial"/>
                <w:color w:val="212121"/>
                <w:sz w:val="17"/>
                <w:szCs w:val="17"/>
              </w:rPr>
              <w:t xml:space="preserve">Assign a targeted Illuminate assessment or resource aligned to the specific standard(s) missed.</w:t>
            </w:r>
          </w:p>
          <w:p>
            <w:pPr>
              <w:spacing w:after="40" w:before="60"/>
            </w:pPr>
            <w:r>
              <w:rPr>
                <w:rFonts w:ascii="Arial" w:cs="Arial" w:eastAsia="Arial" w:hAnsi="Arial"/>
                <w:b/>
                <w:bCs/>
                <w:color w:val="1B5E20"/>
                <w:sz w:val="18"/>
                <w:szCs w:val="18"/>
              </w:rPr>
              <w:t xml:space="preserve">Flexible Grouping</w:t>
            </w:r>
          </w:p>
          <w:p>
            <w:pPr>
              <w:spacing w:after="60" w:before="0"/>
            </w:pPr>
            <w:r>
              <w:rPr>
                <w:rFonts w:ascii="Arial" w:cs="Arial" w:eastAsia="Arial" w:hAnsi="Arial"/>
                <w:color w:val="212121"/>
                <w:sz w:val="17"/>
                <w:szCs w:val="17"/>
              </w:rPr>
              <w:t xml:space="preserve">Temporary small group during the work session for a targeted re-teach. 2–4 students max.</w:t>
            </w:r>
          </w:p>
          <w:p>
            <w:pPr>
              <w:spacing w:after="40" w:before="60"/>
            </w:pPr>
            <w:r>
              <w:rPr>
                <w:rFonts w:ascii="Arial" w:cs="Arial" w:eastAsia="Arial" w:hAnsi="Arial"/>
                <w:b/>
                <w:bCs/>
                <w:color w:val="1B5E20"/>
                <w:sz w:val="18"/>
                <w:szCs w:val="18"/>
              </w:rPr>
              <w:t xml:space="preserve">Make-Up Work Window</w:t>
            </w:r>
          </w:p>
          <w:p>
            <w:pPr>
              <w:spacing w:after="40" w:before="0"/>
            </w:pPr>
            <w:r>
              <w:rPr>
                <w:rFonts w:ascii="Arial" w:cs="Arial" w:eastAsia="Arial" w:hAnsi="Arial"/>
                <w:color w:val="212121"/>
                <w:sz w:val="17"/>
                <w:szCs w:val="17"/>
              </w:rPr>
              <w:t xml:space="preserve">Remind students of the make-up timeline and walk them through what’s missing. Do not wait for them to ask.</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5E20" w:sz="6"/>
              <w:left w:val="single" w:color="1B5E20" w:sz="6"/>
              <w:bottom w:val="single" w:color="1B5E20" w:sz="6"/>
              <w:right w:val="single" w:color="1B5E20" w:sz="6"/>
            </w:tcBorders>
            <w:shd w:fill="E8F5E9" w:val="clear"/>
            <w:tcMar>
              <w:top w:type="dxa" w:w="100"/>
              <w:left w:type="dxa" w:w="160"/>
              <w:bottom w:type="dxa" w:w="100"/>
              <w:right w:type="dxa" w:w="160"/>
            </w:tcMar>
          </w:tcPr>
          <w:p>
            <w:pPr>
              <w:jc w:val="center"/>
            </w:pPr>
            <w:r>
              <w:rPr>
                <w:rFonts w:ascii="Arial" w:cs="Arial" w:eastAsia="Arial" w:hAnsi="Arial"/>
                <w:b/>
                <w:bCs/>
                <w:color w:val="1B5E20"/>
                <w:sz w:val="20"/>
                <w:szCs w:val="20"/>
              </w:rPr>
              <w:t xml:space="preserve">WHEN TO BRING IN THE AP</w:t>
            </w:r>
          </w:p>
          <w:p>
            <w:pPr>
              <w:spacing w:before="60"/>
              <w:jc w:val="center"/>
            </w:pPr>
            <w:r>
              <w:rPr>
                <w:rFonts w:ascii="Arial" w:cs="Arial" w:eastAsia="Arial" w:hAnsi="Arial"/>
                <w:color w:val="212121"/>
                <w:sz w:val="18"/>
                <w:szCs w:val="18"/>
              </w:rPr>
              <w:t xml:space="preserve">If a student completes two full intervention cycles (4 weeks total) without improvement, log it in the Intervention Tracker and reach out to Mr. Wright. You are not expected to solve every situation alone — escalation after two cycles is the right call, not a failure.</w:t>
            </w:r>
          </w:p>
        </w:tc>
      </w:tr>
    </w:tbl>
    <w:p>
      <w:pPr>
        <w:spacing w:after="0" w:before="80"/>
      </w:pPr>
      <w:r>
        <w:t xml:space="preserve"/>
      </w:r>
    </w:p>
    <w:p>
      <w:pPr>
        <w:jc w:val="center"/>
      </w:pPr>
      <w:r>
        <w:rPr>
          <w:rFonts w:ascii="Arial" w:cs="Arial" w:eastAsia="Arial" w:hAnsi="Arial"/>
          <w:i/>
          <w:iCs/>
          <w:color w:val="555555"/>
          <w:sz w:val="16"/>
          <w:szCs w:val="16"/>
        </w:rPr>
        <w:t xml:space="preserve">Griffin High School  |  2025–2026  |  Sapere Aude — Dare to Know</w:t>
      </w:r>
    </w:p>
    <w:sectPr>
      <w:pgSz w:w="12240" w:h="15840" w:orient="portrait"/>
      <w:pgMar w:top="864" w:right="1008" w:bottom="864"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19"/>
        <w:szCs w:val="19"/>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2026-06-04T17:51:35.801Z</dcterms:created>
  <dcterms:modified xsi:type="dcterms:W3CDTF">2026-06-04T17:51:35.813Z</dcterms:modified>
</cp:coreProperties>
</file>

<file path=docProps/custom.xml><?xml version="1.0" encoding="utf-8"?>
<Properties xmlns="http://schemas.openxmlformats.org/officeDocument/2006/custom-properties" xmlns:vt="http://schemas.openxmlformats.org/officeDocument/2006/docPropsVTypes"/>
</file>