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360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2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GRIFFIN HIGH SCHOOL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C9A227"/>
                <w:sz w:val="18"/>
                <w:szCs w:val="18"/>
              </w:rPr>
              <w:t xml:space="preserve">Teacher Quick Reference | Grades 10 &amp; 11 | 2025-2026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9A227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C2A"/>
                <w:sz w:val="16"/>
                <w:szCs w:val="16"/>
              </w:rPr>
              <w:t xml:space="preserve">Non-Negotiables: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color w:val="222222"/>
                <w:sz w:val="14"/>
                <w:szCs w:val="14"/>
              </w:rPr>
              <w:t xml:space="preserve">Be Professional | Be Accountable | Communicate Effectively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0"/>
        <w:gridCol w:w="3100"/>
        <w:gridCol w:w="3160"/>
      </w:tblGrid>
      <w:tr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p>
            <w:pPr>
              <w:shd w:fill="1A5C2A" w:val="clear"/>
              <w:spacing w:after="60" w:before="0"/>
              <w:ind w:left="60" w:right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TIER 1: INSTRUCTIONAL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4-Phase Lesson:</w:t>
            </w: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 Opening → Transition → Work Session → Closing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Gradual Release:</w:t>
            </w: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 I Do / We Do / You Do — model before releasing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Board Config (daily):</w:t>
            </w: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 Standard, Objective, Do-Now, Agenda, EQ/Vocab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Lesson Plans:</w:t>
            </w: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 Submit to shared drive by 8:00 AM Monday; copy in wall file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PLCs:</w:t>
            </w: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 Weekly by content area; bring lesson plan + data</w:t>
            </w:r>
          </w:p>
          <w:p>
            <w:pPr>
              <w:spacing w:after="0" w:before="40"/>
            </w:pPr>
          </w:p>
          <w:p>
            <w:pPr>
              <w:shd w:fill="C9A227" w:val="clear"/>
              <w:spacing w:after="60" w:before="0"/>
              <w:ind w:left="60" w:right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GRADING POLICY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Grade Floor:</w:t>
            </w: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 50 minimum on any assignment. Enter 50 if earned score is lower. Still requires reteach + reassess.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Grade Weights:</w:t>
            </w: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 60% daily / 30% tests &amp; projects / 10% final exam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Entry:</w:t>
            </w: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 Update bi-weekly; 4 grades per 9-weeks minimum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Enter highest score earned — not an average of attempts</w:t>
            </w:r>
            <w:r>
              <w:t xml:space="preserve"/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Grades never reduced for behavior</w:t>
            </w:r>
            <w:r>
              <w:t xml:space="preserve"/>
            </w:r>
          </w:p>
          <w:p>
            <w:pPr>
              <w:spacing w:after="0" w:before="40"/>
            </w:pPr>
          </w:p>
          <w:p>
            <w:pPr>
              <w:shd w:fill="C9A227" w:val="clear"/>
              <w:spacing w:after="60" w:before="0"/>
              <w:ind w:left="60" w:right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PROGRESS LEARNING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Assign module to students below 70 on summative</w:t>
            </w:r>
            <w:r>
              <w:t xml:space="preserve"/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Student completes module, then reassess</w:t>
            </w:r>
            <w:r>
              <w:t xml:space="preserve"/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Enter the highest score in gradebook</w:t>
            </w:r>
            <w:r>
              <w:t xml:space="preserve"/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Document intervention in gradebook notes</w:t>
            </w:r>
            <w:r>
              <w:t xml:space="preserve"/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p>
            <w:pPr>
              <w:shd w:fill="1A5C2A" w:val="clear"/>
              <w:spacing w:after="60" w:before="0"/>
              <w:ind w:left="60" w:right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TIER 2: OPERATIONAL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Workday:</w:t>
            </w: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 7:30 AM – 3:30 PM | Clock in/out via ExecuTime daily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Attendance:</w:t>
            </w: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 Submit in Infinite Campus within first 10 min of each block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Sub Request:</w:t>
            </w: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 2-step: Munis (leave) + Spur (sub) — BOTH required. Sub binder in AP office.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SmartPass:</w:t>
            </w: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 All hall passes through SmartPass — no handwritten passes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10/10 Rule:</w:t>
            </w: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 No passes first or last 10 min of class; last 30 min of 4th Block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Parent Contacts:</w:t>
            </w: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 3 per week minimum, logged in Infinite Campus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Respond to parent calls/emails within 48 hours</w:t>
            </w:r>
            <w:r>
              <w:t xml:space="preserve"/>
            </w:r>
          </w:p>
          <w:p>
            <w:pPr>
              <w:spacing w:after="0" w:before="40"/>
            </w:pPr>
          </w:p>
          <w:p>
            <w:pPr>
              <w:shd w:fill="C9A227" w:val="clear"/>
              <w:spacing w:after="60" w:before="0"/>
              <w:ind w:left="60" w:right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CHRONIC ABSENTEEISM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2 absences:</w:t>
            </w: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 Teacher phone call → log in IC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3 absences:</w:t>
            </w: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 Counselor contacts parent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5 absences:</w:t>
            </w: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 Administrator contacts parent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7 absences:</w:t>
            </w: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 Social Worker contacts parent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10 absences:</w:t>
            </w: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 Truancy Officer home visit; SW refers to ATF</w:t>
            </w:r>
          </w:p>
          <w:p>
            <w:pPr>
              <w:spacing w:after="0" w:before="40"/>
            </w:pPr>
          </w:p>
          <w:p>
            <w:pPr>
              <w:shd w:fill="C9A227" w:val="clear"/>
              <w:spacing w:after="60" w:before="0"/>
              <w:ind w:left="60" w:right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EMERGENCIES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Centegix badge × 3:</w:t>
            </w: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 Admin responds to your location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Centegix badge × 8+:</w:t>
            </w: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 FULL LOCKDOWN — admin, district, law enforcement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Color cards:</w:t>
            </w: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 GREEN = accounted | YELLOW = missing/info | RED = medical</w:t>
            </w:r>
          </w:p>
        </w:tc>
        <w:tc>
          <w:tcPr>
            <w:tcW w:type="dxa" w:w="3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p>
            <w:pPr>
              <w:shd w:fill="1A5C2A" w:val="clear"/>
              <w:spacing w:after="60" w:before="0"/>
              <w:ind w:left="60" w:right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TIER 3: BEHAVIORAL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Threshold:</w:t>
            </w: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 Be at your door every class change — greet by name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Dismiss:</w:t>
            </w: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 See students out; do not release early to lunch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Afternoon:</w:t>
            </w: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 Report to duty post 3:15-3:20 PM — non-negotiable</w:t>
            </w:r>
          </w:p>
          <w:p>
            <w:pPr>
              <w:spacing w:after="0" w:before="40"/>
            </w:pPr>
          </w:p>
          <w:p>
            <w:pPr>
              <w:shd w:fill="C9A227" w:val="clear"/>
              <w:spacing w:after="60" w:before="0"/>
              <w:ind w:left="60" w:right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MINOR (PBIS Rewards)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Step 1:</w:t>
            </w: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 Formal warning + reteach BEARS (×2 min)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Step 2:</w:t>
            </w: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 1-on-1 reteach + Tier 1 intervention; parent contact 24 hrs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Step 3:</w:t>
            </w: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 Time-out to same-hall classroom (max 2×/semester)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Step 4:</w:t>
            </w: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 SEL Check / Counselor referral via PBIS Rewards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Step 5:</w:t>
            </w: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 Escalate to Major referral in Infinite Campus</w:t>
            </w:r>
          </w:p>
          <w:p>
            <w:pPr>
              <w:spacing w:after="0" w:before="40"/>
            </w:pPr>
          </w:p>
          <w:p>
            <w:pPr>
              <w:shd w:fill="C9A227" w:val="clear"/>
              <w:spacing w:after="60" w:before="0"/>
              <w:ind w:left="60" w:right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MAJOR (Infinite Campus)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Submit referral same day (no later than next day)</w:t>
            </w:r>
            <w:r>
              <w:t xml:space="preserve"/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Tools → 'Referral' → Behavior Referral → fill all fields → select all admin → Submit</w:t>
            </w:r>
            <w:r>
              <w:t xml:space="preserve"/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Parent contact documented in IC before referral is processed</w:t>
            </w:r>
            <w:r>
              <w:t xml:space="preserve"/>
            </w:r>
          </w:p>
          <w:p>
            <w:pPr>
              <w:spacing w:after="0" w:before="40"/>
            </w:pPr>
          </w:p>
          <w:p>
            <w:pPr>
              <w:shd w:fill="C9A227" w:val="clear"/>
              <w:spacing w:after="60" w:before="0"/>
              <w:ind w:left="60" w:right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CELL PHONES</w:t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Warning → confiscate EOD → confiscate until parent pickup → referral</w:t>
            </w:r>
            <w:r>
              <w:t xml:space="preserve"/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Medically necessary devices may not be confiscated</w:t>
            </w:r>
            <w:r>
              <w:t xml:space="preserve"/>
            </w:r>
          </w:p>
          <w:p>
            <w:pPr>
              <w:spacing w:after="22" w:before="22"/>
              <w:ind w:left="60"/>
            </w:pPr>
            <w:r>
              <w:rPr>
                <w:rFonts w:ascii="Arial" w:cs="Arial" w:eastAsia="Arial" w:hAnsi="Arial"/>
                <w:b/>
                <w:bCs/>
                <w:color w:val="C9A227"/>
                <w:sz w:val="16"/>
                <w:szCs w:val="16"/>
              </w:rPr>
              <w:t xml:space="preserve">•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No phones during any testing — benchmarks, EOCs, CFAs</w:t>
            </w:r>
            <w: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2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9A227"/>
                <w:sz w:val="15"/>
                <w:szCs w:val="15"/>
              </w:rPr>
              <w:t xml:space="preserve">KEY LINKS: </w:t>
            </w:r>
            <w:r>
              <w:rPr>
                <w:rFonts w:ascii="Arial" w:cs="Arial" w:eastAsia="Arial" w:hAnsi="Arial"/>
                <w:color w:val="FFFFFF"/>
                <w:sz w:val="14"/>
                <w:szCs w:val="14"/>
              </w:rPr>
              <w:t xml:space="preserve">ExecuTime: gscssga.aws.executime.com  |  Spur: account.spurjobs.com  |  SmartPass: app.smartpass.app/main/passes  |  PBIS: pbisr.navigate360.com  |  Student Conductor: studentconductor.com/administrator</w:t>
            </w:r>
          </w:p>
        </w:tc>
      </w:tr>
    </w:tbl>
    <w:sectPr>
      <w:pgSz w:w="12240" w:h="15840" w:orient="portrait"/>
      <w:pgMar w:top="540" w:right="720" w:bottom="54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2026-06-01T17:13:33.591Z</dcterms:created>
  <dcterms:modified xsi:type="dcterms:W3CDTF">2026-06-01T17:13:33.591Z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